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9493D" w14:textId="3D62B916" w:rsidR="00684B20" w:rsidRDefault="002231B2" w:rsidP="002231B2">
      <w:pPr>
        <w:jc w:val="center"/>
        <w:rPr>
          <w:b/>
        </w:rPr>
      </w:pPr>
      <w:r>
        <w:rPr>
          <w:b/>
        </w:rPr>
        <w:t>ANNUAL REPORT 201</w:t>
      </w:r>
      <w:r w:rsidR="00EA7206">
        <w:rPr>
          <w:b/>
        </w:rPr>
        <w:t>8</w:t>
      </w:r>
      <w:r>
        <w:rPr>
          <w:b/>
        </w:rPr>
        <w:t>-1</w:t>
      </w:r>
      <w:r w:rsidR="00EA7206">
        <w:rPr>
          <w:b/>
        </w:rPr>
        <w:t>9</w:t>
      </w:r>
    </w:p>
    <w:p w14:paraId="719F0798" w14:textId="7CF3363F" w:rsidR="00EA7206" w:rsidRDefault="00EA7206" w:rsidP="002231B2"/>
    <w:p w14:paraId="74B7D077" w14:textId="513FBA1B" w:rsidR="00EA7206" w:rsidRDefault="00EA7206" w:rsidP="00EA7206">
      <w:pPr>
        <w:jc w:val="both"/>
      </w:pPr>
      <w:r>
        <w:t xml:space="preserve">During the last twelve months we have continued our campaign to raise awareness about the issues of persistent heartburn, Barrett’s </w:t>
      </w:r>
      <w:r w:rsidR="004F2F12">
        <w:t>O</w:t>
      </w:r>
      <w:r>
        <w:t>esophagus and oesophageal adenocarcinoma</w:t>
      </w:r>
      <w:r w:rsidR="004F2F12">
        <w:t>.   We</w:t>
      </w:r>
      <w:r>
        <w:t xml:space="preserve"> again p</w:t>
      </w:r>
      <w:r w:rsidR="002231B2">
        <w:t>romoted the February Oesophageal Cancer Awareness Month</w:t>
      </w:r>
      <w:r>
        <w:t>.</w:t>
      </w:r>
    </w:p>
    <w:p w14:paraId="5BF78834" w14:textId="14D382BD" w:rsidR="00EA7206" w:rsidRDefault="00EA7206" w:rsidP="00EA7206">
      <w:pPr>
        <w:jc w:val="both"/>
      </w:pPr>
      <w:r>
        <w:t xml:space="preserve">We were delighted to receive a grant from the Company of Actuaries Charitable Trust Fund which enabled us to run a pharmacy bag campaign in SE London and Kent.   We remain committed to targeting the regular users of over-the-counter heartburn remedies as an important part of our </w:t>
      </w:r>
      <w:proofErr w:type="gramStart"/>
      <w:r>
        <w:t>campaign</w:t>
      </w:r>
      <w:r w:rsidR="004F2F12">
        <w:t>,</w:t>
      </w:r>
      <w:r>
        <w:t xml:space="preserve">  and</w:t>
      </w:r>
      <w:proofErr w:type="gramEnd"/>
      <w:r>
        <w:t xml:space="preserve"> were pleased with the impact that the pharmacy bags were able to achieve:</w:t>
      </w:r>
    </w:p>
    <w:p w14:paraId="72E13B25" w14:textId="77777777" w:rsidR="00EA7206" w:rsidRDefault="00EA7206" w:rsidP="00EA7206">
      <w:pPr>
        <w:jc w:val="both"/>
      </w:pPr>
    </w:p>
    <w:p w14:paraId="2E0D8A2D" w14:textId="01F61361" w:rsidR="00EA7206" w:rsidRDefault="004F2F12" w:rsidP="0020467C">
      <w:pPr>
        <w:jc w:val="center"/>
      </w:pPr>
      <w:r w:rsidRPr="004F2F12">
        <w:rPr>
          <w:noProof/>
        </w:rPr>
        <w:drawing>
          <wp:inline distT="0" distB="0" distL="0" distR="0" wp14:anchorId="44F24FD6" wp14:editId="05ECE4DD">
            <wp:extent cx="4104903" cy="40416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5231" cy="4051857"/>
                    </a:xfrm>
                    <a:prstGeom prst="rect">
                      <a:avLst/>
                    </a:prstGeom>
                    <a:noFill/>
                    <a:ln>
                      <a:noFill/>
                    </a:ln>
                  </pic:spPr>
                </pic:pic>
              </a:graphicData>
            </a:graphic>
          </wp:inline>
        </w:drawing>
      </w:r>
    </w:p>
    <w:p w14:paraId="77FAACF5" w14:textId="77777777" w:rsidR="00EA7206" w:rsidRDefault="00EA7206" w:rsidP="00EA7206">
      <w:pPr>
        <w:jc w:val="both"/>
      </w:pPr>
    </w:p>
    <w:p w14:paraId="50302004" w14:textId="1C39E4D4" w:rsidR="0020467C" w:rsidRDefault="0020467C" w:rsidP="006E5769">
      <w:pPr>
        <w:jc w:val="both"/>
      </w:pPr>
      <w:r>
        <w:lastRenderedPageBreak/>
        <w:t xml:space="preserve">We remain grateful for the efforts of our local volunteers who have distributed our leaflets and posters at various points throughout the United Kingdom, and the initiatives undertaken by </w:t>
      </w:r>
      <w:r w:rsidR="004F2F12">
        <w:t>our associated</w:t>
      </w:r>
      <w:r>
        <w:t xml:space="preserve"> charities and groups who conduct local campaigns supporting the same objectives.</w:t>
      </w:r>
      <w:r w:rsidR="003D433E">
        <w:t xml:space="preserve">   We are pleased to see increased levels of interest and commitment to these issues in all countries in the United Kingdom.</w:t>
      </w:r>
    </w:p>
    <w:p w14:paraId="77983298" w14:textId="540A5FA0" w:rsidR="00FB11BD" w:rsidRDefault="00FB11BD" w:rsidP="006E5769">
      <w:pPr>
        <w:jc w:val="both"/>
      </w:pPr>
      <w:r>
        <w:t xml:space="preserve">We </w:t>
      </w:r>
      <w:r w:rsidR="0020467C">
        <w:t>remain</w:t>
      </w:r>
      <w:r w:rsidR="003D433E">
        <w:t>, however,</w:t>
      </w:r>
      <w:r w:rsidR="0020467C">
        <w:t xml:space="preserve"> disappointed and concerned </w:t>
      </w:r>
      <w:r>
        <w:t xml:space="preserve">that Public Health England’s (PHE) </w:t>
      </w:r>
      <w:r>
        <w:rPr>
          <w:i/>
        </w:rPr>
        <w:t xml:space="preserve">Be Clear on Cancer </w:t>
      </w:r>
      <w:r>
        <w:t>campaign</w:t>
      </w:r>
      <w:r w:rsidR="0020467C">
        <w:t xml:space="preserve">s appear to be greatly reduced in scope, and have not maintained the public education momentum, particularly </w:t>
      </w:r>
      <w:r w:rsidR="004F2F12">
        <w:t xml:space="preserve">with </w:t>
      </w:r>
      <w:r>
        <w:t xml:space="preserve">their </w:t>
      </w:r>
      <w:proofErr w:type="spellStart"/>
      <w:r>
        <w:t>oesophago</w:t>
      </w:r>
      <w:proofErr w:type="spellEnd"/>
      <w:r>
        <w:t>-gastric campaign</w:t>
      </w:r>
      <w:r w:rsidR="004F2F12">
        <w:t>,</w:t>
      </w:r>
      <w:r>
        <w:t xml:space="preserve"> which did much to raise awareness of the public health issue of persistent heartburn.</w:t>
      </w:r>
      <w:r w:rsidR="0020467C">
        <w:t xml:space="preserve">   The fact that there was no corresponding surge of cancers being diagnosed in the period of that campaign does not detract from the importance of identifying people who suffer from the precursor condition of dysplastic Barrett’s Oesophagus.   The existence of this precursor condition is an advantage that few other cancers have, and we remain convinced that the United Kingdom, reported as having the highest incidence of oesophageal adenocarcinoma </w:t>
      </w:r>
      <w:r w:rsidR="00F2388D">
        <w:t xml:space="preserve">in the world, should exploit </w:t>
      </w:r>
      <w:r w:rsidR="004F2F12">
        <w:t>the</w:t>
      </w:r>
      <w:r w:rsidR="00F2388D">
        <w:t xml:space="preserve"> opportunit</w:t>
      </w:r>
      <w:r w:rsidR="004F2F12">
        <w:t>ies</w:t>
      </w:r>
      <w:r w:rsidR="00F2388D">
        <w:t xml:space="preserve"> to address what is a serious public health problem. </w:t>
      </w:r>
    </w:p>
    <w:p w14:paraId="41E88CBF" w14:textId="32D57AE3" w:rsidR="003666EC" w:rsidRDefault="003666EC" w:rsidP="006E5769">
      <w:pPr>
        <w:jc w:val="both"/>
      </w:pPr>
      <w:proofErr w:type="gramStart"/>
      <w:r>
        <w:t>The aim,</w:t>
      </w:r>
      <w:proofErr w:type="gramEnd"/>
      <w:r>
        <w:t xml:space="preserve"> outlined in NHS (England)’s 10 -year plan to diagnose 75% of all cancers at stages 1 and 2 by 2028 is a very welcome development.   The treatment outcomes for oesophageal cancer are dramatically better when the disease is diagnosed at an early stage.   This sometimes enables endoscopic treatments to be used </w:t>
      </w:r>
      <w:r w:rsidR="00CF353F">
        <w:t xml:space="preserve">for curative treatment </w:t>
      </w:r>
      <w:r>
        <w:t xml:space="preserve">rather than major surgery.   </w:t>
      </w:r>
      <w:r w:rsidR="00CF353F">
        <w:t xml:space="preserve">The NHS (England) </w:t>
      </w:r>
      <w:proofErr w:type="spellStart"/>
      <w:r w:rsidR="00CF353F">
        <w:t>scattergram</w:t>
      </w:r>
      <w:proofErr w:type="spellEnd"/>
      <w:r w:rsidR="00CF353F">
        <w:t xml:space="preserve"> below indicates that just under 30% of oesophageal cancer cases are diagnosed at an early stage, so dramatic progress needs to be achieved to match the advances made in relation to other cancers:</w:t>
      </w:r>
    </w:p>
    <w:p w14:paraId="426021B1" w14:textId="10297465" w:rsidR="00CF353F" w:rsidRDefault="00CF353F" w:rsidP="006E5769">
      <w:pPr>
        <w:jc w:val="both"/>
      </w:pPr>
      <w:r w:rsidRPr="00CF353F">
        <w:drawing>
          <wp:inline distT="0" distB="0" distL="0" distR="0" wp14:anchorId="2162F6DF" wp14:editId="71D2AFEC">
            <wp:extent cx="5731510" cy="3323590"/>
            <wp:effectExtent l="0" t="0" r="2540" b="10160"/>
            <wp:docPr id="1" name="Chart 1">
              <a:extLst xmlns:a="http://schemas.openxmlformats.org/drawingml/2006/main">
                <a:ext uri="{FF2B5EF4-FFF2-40B4-BE49-F238E27FC236}">
                  <a16:creationId xmlns:a16="http://schemas.microsoft.com/office/drawing/2014/main" id="{1AF16FF3-2F5D-4A51-B12B-E1AEE18CA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A85BBA" w14:textId="77777777" w:rsidR="00CF353F" w:rsidRDefault="00CF353F" w:rsidP="006E5769">
      <w:pPr>
        <w:jc w:val="both"/>
      </w:pPr>
    </w:p>
    <w:p w14:paraId="66EDF515" w14:textId="7E03D268" w:rsidR="00F67AB8" w:rsidRPr="003D433E" w:rsidRDefault="003D433E" w:rsidP="006E5769">
      <w:pPr>
        <w:jc w:val="both"/>
      </w:pPr>
      <w:r>
        <w:t xml:space="preserve">We have been conscious for many years that </w:t>
      </w:r>
      <w:proofErr w:type="spellStart"/>
      <w:r>
        <w:rPr>
          <w:i/>
          <w:iCs/>
        </w:rPr>
        <w:t>Cytosponge</w:t>
      </w:r>
      <w:proofErr w:type="spellEnd"/>
      <w:r>
        <w:rPr>
          <w:i/>
          <w:iCs/>
        </w:rPr>
        <w:t xml:space="preserve">, </w:t>
      </w:r>
      <w:r>
        <w:t xml:space="preserve">the ‘pill on a string’, has great potential to identify Barrett’s Oesophagus from a test administered in a GP surgery.   We look forward to the final report on the BEST3 trial for this device.   Better access to diagnostic devices is a crucial issue for primary care, without which </w:t>
      </w:r>
      <w:r w:rsidR="00FE5BB8">
        <w:t xml:space="preserve">the </w:t>
      </w:r>
      <w:r>
        <w:t>early diagnosis</w:t>
      </w:r>
      <w:r w:rsidR="00FE5BB8">
        <w:t xml:space="preserve"> aims</w:t>
      </w:r>
      <w:r>
        <w:t xml:space="preserve"> will not be achieved.   We are </w:t>
      </w:r>
      <w:r w:rsidR="00FE5BB8">
        <w:t xml:space="preserve">aware of promising research including breath and saliva tests and wish to do all in our power to encourage research and development of these devices and other initiatives.   </w:t>
      </w:r>
    </w:p>
    <w:p w14:paraId="19533985" w14:textId="77777777" w:rsidR="00560541" w:rsidRDefault="00560541" w:rsidP="00FA7553"/>
    <w:p w14:paraId="2B357A71" w14:textId="4994CD87" w:rsidR="00560541" w:rsidRPr="006D73F6" w:rsidRDefault="00FE5BB8" w:rsidP="004F2F12">
      <w:pPr>
        <w:jc w:val="both"/>
      </w:pPr>
      <w:r>
        <w:t xml:space="preserve">Media stories about cancer treatment are publicised on virtually a weekly basis;  </w:t>
      </w:r>
      <w:r w:rsidR="004F2F12">
        <w:t>translation into clinical practice of these developments is much slower and more complex, but nevertheless, the number of people dying from oesophageal cancer, not just in statistical terms but also the human stories for the patients involved, should galvanise our health system to introduce the improvements we so desperately need.</w:t>
      </w:r>
    </w:p>
    <w:p w14:paraId="5BBB669C" w14:textId="7121648E" w:rsidR="006D73F6" w:rsidRDefault="004F2F12" w:rsidP="006B3126">
      <w:pPr>
        <w:jc w:val="both"/>
      </w:pPr>
      <w:r>
        <w:t>W</w:t>
      </w:r>
      <w:r w:rsidR="006D73F6">
        <w:t>e are grateful to the</w:t>
      </w:r>
      <w:r w:rsidR="00136CD8">
        <w:t xml:space="preserve"> </w:t>
      </w:r>
      <w:r w:rsidR="006D73F6">
        <w:t>Trustees of Barretts Oesophagus UK</w:t>
      </w:r>
      <w:r w:rsidR="00136CD8">
        <w:t xml:space="preserve">, registered charity 1127495, under whose jurisdiction </w:t>
      </w:r>
      <w:r w:rsidR="00136CD8" w:rsidRPr="00136CD8">
        <w:rPr>
          <w:i/>
        </w:rPr>
        <w:t>Action Against Heartburn</w:t>
      </w:r>
      <w:r w:rsidR="00136CD8">
        <w:t xml:space="preserve"> operates</w:t>
      </w:r>
      <w:r>
        <w:t xml:space="preserve">, and </w:t>
      </w:r>
      <w:proofErr w:type="gramStart"/>
      <w:r>
        <w:t>in particular for</w:t>
      </w:r>
      <w:proofErr w:type="gramEnd"/>
      <w:r>
        <w:t xml:space="preserve"> the services of our outgoing treasurer Hassan Behcet for his conscientious and valuable assistance</w:t>
      </w:r>
      <w:r w:rsidR="00136CD8">
        <w:t>.</w:t>
      </w:r>
    </w:p>
    <w:p w14:paraId="53C96A94" w14:textId="77777777" w:rsidR="006D73F6" w:rsidRDefault="006D73F6" w:rsidP="00FA7553"/>
    <w:p w14:paraId="3DA70B61" w14:textId="77777777" w:rsidR="00560541" w:rsidRDefault="00560541" w:rsidP="00FA7553">
      <w:bookmarkStart w:id="0" w:name="_GoBack"/>
      <w:bookmarkEnd w:id="0"/>
    </w:p>
    <w:p w14:paraId="79159F92" w14:textId="77777777" w:rsidR="00136CD8" w:rsidRPr="00E0756C" w:rsidRDefault="00136CD8" w:rsidP="001444FE">
      <w:pPr>
        <w:rPr>
          <w:b/>
          <w:color w:val="1F4E79" w:themeColor="accent1" w:themeShade="80"/>
        </w:rPr>
      </w:pPr>
    </w:p>
    <w:p w14:paraId="6807B406" w14:textId="77777777" w:rsidR="001444FE" w:rsidRPr="00E0756C" w:rsidRDefault="001444FE" w:rsidP="001444FE">
      <w:pPr>
        <w:spacing w:after="0"/>
        <w:rPr>
          <w:b/>
          <w:color w:val="1F4E79" w:themeColor="accent1" w:themeShade="80"/>
        </w:rPr>
      </w:pPr>
      <w:r w:rsidRPr="00E0756C">
        <w:rPr>
          <w:b/>
          <w:color w:val="1F4E79" w:themeColor="accent1" w:themeShade="80"/>
        </w:rPr>
        <w:t>Alan Moss, Chairman</w:t>
      </w:r>
    </w:p>
    <w:p w14:paraId="0A9228F8" w14:textId="77777777" w:rsidR="001444FE" w:rsidRPr="00E0756C" w:rsidRDefault="005E00E1" w:rsidP="001444FE">
      <w:pPr>
        <w:spacing w:after="0"/>
        <w:rPr>
          <w:b/>
          <w:color w:val="1F4E79" w:themeColor="accent1" w:themeShade="80"/>
        </w:rPr>
      </w:pPr>
      <w:r>
        <w:rPr>
          <w:b/>
          <w:color w:val="1F4E79" w:themeColor="accent1" w:themeShade="80"/>
        </w:rPr>
        <w:t>7 Winnipeg Drive, Green Street Green</w:t>
      </w:r>
      <w:r w:rsidR="001444FE" w:rsidRPr="00E0756C">
        <w:rPr>
          <w:b/>
          <w:color w:val="1F4E79" w:themeColor="accent1" w:themeShade="80"/>
        </w:rPr>
        <w:t>, Orpington, Kent, BR6 6</w:t>
      </w:r>
      <w:r>
        <w:rPr>
          <w:b/>
          <w:color w:val="1F4E79" w:themeColor="accent1" w:themeShade="80"/>
        </w:rPr>
        <w:t>NW</w:t>
      </w:r>
    </w:p>
    <w:p w14:paraId="243A5CF4" w14:textId="77777777" w:rsidR="001444FE" w:rsidRPr="00E0756C" w:rsidRDefault="001444FE" w:rsidP="001444FE">
      <w:pPr>
        <w:spacing w:after="0"/>
        <w:rPr>
          <w:b/>
          <w:color w:val="1F4E79" w:themeColor="accent1" w:themeShade="80"/>
        </w:rPr>
      </w:pPr>
      <w:r w:rsidRPr="00E0756C">
        <w:rPr>
          <w:b/>
          <w:color w:val="1F4E79" w:themeColor="accent1" w:themeShade="80"/>
        </w:rPr>
        <w:t xml:space="preserve">Email:  </w:t>
      </w:r>
      <w:hyperlink r:id="rId10" w:history="1">
        <w:r w:rsidRPr="00E0756C">
          <w:rPr>
            <w:rStyle w:val="Hyperlink"/>
            <w:b/>
            <w:color w:val="1F4E79" w:themeColor="accent1" w:themeShade="80"/>
          </w:rPr>
          <w:t>alanmoss32@gmail.com</w:t>
        </w:r>
      </w:hyperlink>
      <w:r w:rsidRPr="00E0756C">
        <w:rPr>
          <w:b/>
          <w:color w:val="1F4E79" w:themeColor="accent1" w:themeShade="80"/>
        </w:rPr>
        <w:t xml:space="preserve">   Tel:  01689 </w:t>
      </w:r>
      <w:r w:rsidR="005E00E1">
        <w:rPr>
          <w:b/>
          <w:color w:val="1F4E79" w:themeColor="accent1" w:themeShade="80"/>
        </w:rPr>
        <w:t>858677</w:t>
      </w:r>
    </w:p>
    <w:p w14:paraId="6E0CD295" w14:textId="77777777" w:rsidR="001444FE" w:rsidRDefault="001444FE" w:rsidP="00FA7553"/>
    <w:sectPr w:rsidR="001444FE" w:rsidSect="001444FE">
      <w:footerReference w:type="default" r:id="rId11"/>
      <w:headerReference w:type="first" r:id="rId12"/>
      <w:footerReference w:type="first" r:id="rId13"/>
      <w:pgSz w:w="11906" w:h="16838"/>
      <w:pgMar w:top="878" w:right="1440" w:bottom="36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F2DC2" w14:textId="77777777" w:rsidR="00CB34ED" w:rsidRDefault="00CB34ED" w:rsidP="00AF681C">
      <w:pPr>
        <w:spacing w:after="0" w:line="240" w:lineRule="auto"/>
      </w:pPr>
      <w:r>
        <w:separator/>
      </w:r>
    </w:p>
  </w:endnote>
  <w:endnote w:type="continuationSeparator" w:id="0">
    <w:p w14:paraId="69B2AEF6" w14:textId="77777777" w:rsidR="00CB34ED" w:rsidRDefault="00CB34ED" w:rsidP="00AF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8E421" w14:textId="77777777" w:rsidR="00AF681C" w:rsidRDefault="00AF681C">
    <w:pPr>
      <w:pStyle w:val="Footer"/>
    </w:pPr>
  </w:p>
  <w:p w14:paraId="0B44732C" w14:textId="77777777" w:rsidR="00AF681C" w:rsidRDefault="00AF6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50"/>
    </w:tblGrid>
    <w:tr w:rsidR="00A9068C" w14:paraId="2B567121" w14:textId="77777777" w:rsidTr="00A9068C">
      <w:tc>
        <w:tcPr>
          <w:tcW w:w="1555" w:type="dxa"/>
        </w:tcPr>
        <w:p w14:paraId="215C9FB8" w14:textId="77777777" w:rsidR="00A9068C" w:rsidRDefault="00A9068C" w:rsidP="00AF681C">
          <w:pPr>
            <w:pStyle w:val="Footer"/>
            <w:jc w:val="center"/>
            <w:rPr>
              <w:b/>
              <w:color w:val="1F4E79" w:themeColor="accent1" w:themeShade="80"/>
            </w:rPr>
          </w:pPr>
        </w:p>
      </w:tc>
      <w:tc>
        <w:tcPr>
          <w:tcW w:w="6950" w:type="dxa"/>
        </w:tcPr>
        <w:p w14:paraId="796824BD" w14:textId="77777777" w:rsidR="00A9068C" w:rsidRDefault="00A9068C" w:rsidP="00A9068C">
          <w:pPr>
            <w:pStyle w:val="Footer"/>
            <w:jc w:val="center"/>
            <w:rPr>
              <w:b/>
              <w:color w:val="1F4E79" w:themeColor="accent1" w:themeShade="80"/>
            </w:rPr>
          </w:pPr>
        </w:p>
      </w:tc>
    </w:tr>
  </w:tbl>
  <w:p w14:paraId="2E3ECC3E" w14:textId="77777777" w:rsidR="00AF681C" w:rsidRPr="00A9068C" w:rsidRDefault="00AF681C" w:rsidP="00AF681C">
    <w:pPr>
      <w:pStyle w:val="Footer"/>
      <w:jc w:val="center"/>
      <w:rPr>
        <w:b/>
        <w:color w:val="1F4E79" w:themeColor="accent1" w:themeShade="8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E030CF" w:rsidRPr="003327FB" w14:paraId="4F7BBCD7" w14:textId="77777777" w:rsidTr="003552BF">
      <w:tc>
        <w:tcPr>
          <w:tcW w:w="10065" w:type="dxa"/>
        </w:tcPr>
        <w:p w14:paraId="3A7CCD58" w14:textId="03AF6E60" w:rsidR="00E030CF" w:rsidRPr="005B6DF1" w:rsidRDefault="00E030CF" w:rsidP="00E030CF">
          <w:pPr>
            <w:rPr>
              <w:color w:val="FF0000"/>
              <w:sz w:val="20"/>
              <w:szCs w:val="20"/>
            </w:rPr>
          </w:pPr>
          <w:r w:rsidRPr="005B6DF1">
            <w:rPr>
              <w:color w:val="FF0000"/>
              <w:sz w:val="20"/>
              <w:szCs w:val="20"/>
            </w:rPr>
            <w:t xml:space="preserve">The organisations supporting </w:t>
          </w:r>
          <w:r w:rsidRPr="005B6DF1">
            <w:rPr>
              <w:i/>
              <w:color w:val="FF0000"/>
              <w:sz w:val="20"/>
              <w:szCs w:val="20"/>
            </w:rPr>
            <w:t xml:space="preserve">Action Against Heartburn </w:t>
          </w:r>
          <w:r w:rsidRPr="005B6DF1">
            <w:rPr>
              <w:color w:val="FF0000"/>
              <w:sz w:val="20"/>
              <w:szCs w:val="20"/>
            </w:rPr>
            <w:t>are</w:t>
          </w:r>
          <w:r w:rsidRPr="005B6DF1">
            <w:rPr>
              <w:b/>
              <w:color w:val="FF0000"/>
              <w:sz w:val="20"/>
              <w:szCs w:val="20"/>
            </w:rPr>
            <w:t>:</w:t>
          </w:r>
          <w:r w:rsidRPr="005B6DF1">
            <w:rPr>
              <w:color w:val="FF0000"/>
              <w:sz w:val="20"/>
              <w:szCs w:val="20"/>
            </w:rPr>
            <w:t xml:space="preserve"> AUGIS – Association of Upper GI Surgeons; Barrett’s Oesophagus UK;  Barrett’s Wessex;   BSG – British Society of Gastroenterology;  Cancer Research UK;  CARD – Campaign Against Reflux Disease; CORE – Fighting Gut and Liver Disease; FORT – Fighting Oesophageal Reflux Together; GOSH - Gastro-Oesophageal Support &amp; Help, Bristol; Gutsy Group;  Heartburn Cancer UK;  Humberside Oesophageal Support Group; Michael Blake Foundation; </w:t>
          </w:r>
          <w:proofErr w:type="spellStart"/>
          <w:r w:rsidRPr="005B6DF1">
            <w:rPr>
              <w:color w:val="FF0000"/>
              <w:sz w:val="20"/>
              <w:szCs w:val="20"/>
            </w:rPr>
            <w:t>Oesophagoose</w:t>
          </w:r>
          <w:proofErr w:type="spellEnd"/>
          <w:r w:rsidRPr="005B6DF1">
            <w:rPr>
              <w:color w:val="FF0000"/>
              <w:sz w:val="20"/>
              <w:szCs w:val="20"/>
            </w:rPr>
            <w:t xml:space="preserve"> -National </w:t>
          </w:r>
          <w:proofErr w:type="spellStart"/>
          <w:r w:rsidRPr="005B6DF1">
            <w:rPr>
              <w:color w:val="FF0000"/>
              <w:sz w:val="20"/>
              <w:szCs w:val="20"/>
            </w:rPr>
            <w:t>Oesophago</w:t>
          </w:r>
          <w:proofErr w:type="spellEnd"/>
          <w:r w:rsidRPr="005B6DF1">
            <w:rPr>
              <w:color w:val="FF0000"/>
              <w:sz w:val="20"/>
              <w:szCs w:val="20"/>
            </w:rPr>
            <w:t>-Gastric Cancer Awareness;  OOSO – Oxfordshire Oesophageal and Stomach Organisation; OCHRE charity (Scotland);  PCSG - Primary Care Society for Gastroenterology; UKBOR – UK Barrett’s Oesophagus Registry</w:t>
          </w:r>
        </w:p>
        <w:p w14:paraId="60DE6955" w14:textId="77777777" w:rsidR="00E030CF" w:rsidRPr="003327FB" w:rsidRDefault="00E030CF" w:rsidP="00E030CF">
          <w:pPr>
            <w:rPr>
              <w:b/>
              <w:color w:val="FF0000"/>
              <w:sz w:val="20"/>
              <w:szCs w:val="20"/>
            </w:rPr>
          </w:pPr>
          <w:r>
            <w:rPr>
              <w:color w:val="FF0000"/>
              <w:sz w:val="20"/>
              <w:szCs w:val="20"/>
            </w:rPr>
            <w:t xml:space="preserve"> </w:t>
          </w:r>
          <w:r w:rsidRPr="003327FB">
            <w:rPr>
              <w:color w:val="FF0000"/>
              <w:sz w:val="20"/>
              <w:szCs w:val="20"/>
            </w:rPr>
            <w:t xml:space="preserve"> </w:t>
          </w:r>
        </w:p>
      </w:tc>
    </w:tr>
  </w:tbl>
  <w:p w14:paraId="59087193" w14:textId="77777777" w:rsidR="00E030CF" w:rsidRDefault="00E030CF" w:rsidP="00E030CF">
    <w:pPr>
      <w:pStyle w:val="Footer"/>
      <w:jc w:val="center"/>
      <w:rPr>
        <w:color w:val="FF0000"/>
        <w:sz w:val="20"/>
        <w:szCs w:val="20"/>
      </w:rPr>
    </w:pPr>
    <w:r w:rsidRPr="003327FB">
      <w:rPr>
        <w:color w:val="FF0000"/>
        <w:sz w:val="20"/>
        <w:szCs w:val="20"/>
      </w:rPr>
      <w:t xml:space="preserve">Medical Advisor to </w:t>
    </w:r>
    <w:r w:rsidRPr="003327FB">
      <w:rPr>
        <w:i/>
        <w:color w:val="FF0000"/>
        <w:sz w:val="20"/>
        <w:szCs w:val="20"/>
      </w:rPr>
      <w:t xml:space="preserve">Action Against Heartburn </w:t>
    </w:r>
    <w:r w:rsidRPr="003327FB">
      <w:rPr>
        <w:color w:val="FF0000"/>
        <w:sz w:val="20"/>
        <w:szCs w:val="20"/>
      </w:rPr>
      <w:t xml:space="preserve">– </w:t>
    </w:r>
    <w:r>
      <w:rPr>
        <w:color w:val="FF0000"/>
        <w:sz w:val="20"/>
        <w:szCs w:val="20"/>
      </w:rPr>
      <w:t xml:space="preserve">Dr Jason Dunn </w:t>
    </w:r>
    <w:r w:rsidRPr="00D525E3">
      <w:rPr>
        <w:color w:val="FF0000"/>
        <w:sz w:val="16"/>
        <w:szCs w:val="16"/>
      </w:rPr>
      <w:t xml:space="preserve">MB BS PhD MRCP BSc, </w:t>
    </w:r>
    <w:r>
      <w:rPr>
        <w:color w:val="FF0000"/>
        <w:sz w:val="20"/>
        <w:szCs w:val="20"/>
      </w:rPr>
      <w:t>St Thomas’ hospital</w:t>
    </w:r>
  </w:p>
  <w:p w14:paraId="33F9FCB4" w14:textId="77777777" w:rsidR="00E030CF" w:rsidRPr="003327FB" w:rsidRDefault="00E030CF" w:rsidP="00E030CF">
    <w:pPr>
      <w:pStyle w:val="Footer"/>
      <w:jc w:val="center"/>
      <w:rPr>
        <w:color w:val="FF0000"/>
        <w:sz w:val="20"/>
        <w:szCs w:val="20"/>
      </w:rPr>
    </w:pPr>
    <w:r>
      <w:rPr>
        <w:color w:val="FF0000"/>
        <w:sz w:val="20"/>
        <w:szCs w:val="20"/>
      </w:rPr>
      <w:t xml:space="preserve">Pharmaceutical Advisor:  Ash </w:t>
    </w:r>
    <w:proofErr w:type="spellStart"/>
    <w:r>
      <w:rPr>
        <w:color w:val="FF0000"/>
        <w:sz w:val="20"/>
        <w:szCs w:val="20"/>
      </w:rPr>
      <w:t>Soni</w:t>
    </w:r>
    <w:proofErr w:type="spellEnd"/>
    <w:r>
      <w:rPr>
        <w:color w:val="FF0000"/>
        <w:sz w:val="20"/>
        <w:szCs w:val="20"/>
      </w:rPr>
      <w:t xml:space="preserve"> OBE</w:t>
    </w:r>
  </w:p>
  <w:p w14:paraId="10A85B01" w14:textId="77777777" w:rsidR="00AF681C" w:rsidRPr="00AF681C" w:rsidRDefault="00AF681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AF95B" w14:textId="77777777" w:rsidR="00CB34ED" w:rsidRDefault="00CB34ED" w:rsidP="00AF681C">
      <w:pPr>
        <w:spacing w:after="0" w:line="240" w:lineRule="auto"/>
      </w:pPr>
      <w:r>
        <w:separator/>
      </w:r>
    </w:p>
  </w:footnote>
  <w:footnote w:type="continuationSeparator" w:id="0">
    <w:p w14:paraId="1B57508A" w14:textId="77777777" w:rsidR="00CB34ED" w:rsidRDefault="00CB34ED" w:rsidP="00AF6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077D" w14:textId="77777777" w:rsidR="00AF681C" w:rsidRDefault="00AF681C">
    <w:pPr>
      <w:pStyle w:val="Header"/>
    </w:pPr>
  </w:p>
  <w:tbl>
    <w:tblPr>
      <w:tblStyle w:val="TableGrid"/>
      <w:tblW w:w="9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7403"/>
    </w:tblGrid>
    <w:tr w:rsidR="00AF681C" w14:paraId="5A49892A" w14:textId="77777777" w:rsidTr="001444FE">
      <w:trPr>
        <w:trHeight w:val="1607"/>
      </w:trPr>
      <w:tc>
        <w:tcPr>
          <w:tcW w:w="1712" w:type="dxa"/>
        </w:tcPr>
        <w:p w14:paraId="297341E5" w14:textId="77777777" w:rsidR="00AF681C" w:rsidRDefault="00AF681C" w:rsidP="00AF681C">
          <w:pPr>
            <w:pStyle w:val="Header"/>
          </w:pPr>
          <w:r>
            <w:rPr>
              <w:b/>
              <w:i/>
              <w:noProof/>
              <w:sz w:val="24"/>
              <w:szCs w:val="24"/>
              <w:lang w:eastAsia="en-GB"/>
            </w:rPr>
            <w:drawing>
              <wp:inline distT="0" distB="0" distL="0" distR="0" wp14:anchorId="2F69E453" wp14:editId="0C690CC3">
                <wp:extent cx="790575" cy="84663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H logo(March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1543" cy="858377"/>
                        </a:xfrm>
                        <a:prstGeom prst="rect">
                          <a:avLst/>
                        </a:prstGeom>
                      </pic:spPr>
                    </pic:pic>
                  </a:graphicData>
                </a:graphic>
              </wp:inline>
            </w:drawing>
          </w:r>
        </w:p>
      </w:tc>
      <w:tc>
        <w:tcPr>
          <w:tcW w:w="7403" w:type="dxa"/>
        </w:tcPr>
        <w:p w14:paraId="45B3AEDB" w14:textId="77777777" w:rsidR="00AF681C" w:rsidRPr="001444FE" w:rsidRDefault="00AF681C" w:rsidP="00AF681C">
          <w:pPr>
            <w:jc w:val="center"/>
            <w:rPr>
              <w:b/>
              <w:i/>
              <w:color w:val="FF0000"/>
              <w:sz w:val="28"/>
              <w:szCs w:val="28"/>
            </w:rPr>
          </w:pPr>
          <w:r w:rsidRPr="001444FE">
            <w:rPr>
              <w:b/>
              <w:i/>
              <w:color w:val="FF0000"/>
              <w:sz w:val="28"/>
              <w:szCs w:val="28"/>
            </w:rPr>
            <w:t>Action Against Heartburn – Before it’s too late</w:t>
          </w:r>
        </w:p>
        <w:p w14:paraId="1947D809" w14:textId="77777777" w:rsidR="00AF681C" w:rsidRPr="001444FE" w:rsidRDefault="00AF681C" w:rsidP="00AF681C">
          <w:pPr>
            <w:jc w:val="center"/>
            <w:rPr>
              <w:b/>
              <w:i/>
              <w:color w:val="FF0000"/>
              <w:sz w:val="28"/>
              <w:szCs w:val="28"/>
            </w:rPr>
          </w:pPr>
          <w:r w:rsidRPr="001444FE">
            <w:rPr>
              <w:b/>
              <w:i/>
              <w:color w:val="FF0000"/>
              <w:sz w:val="28"/>
              <w:szCs w:val="28"/>
            </w:rPr>
            <w:t xml:space="preserve">Charities promoting earlier diagnosis </w:t>
          </w:r>
        </w:p>
        <w:p w14:paraId="743787E4" w14:textId="77777777" w:rsidR="001444FE" w:rsidRPr="001444FE" w:rsidRDefault="00AF681C" w:rsidP="00AF681C">
          <w:pPr>
            <w:jc w:val="center"/>
            <w:rPr>
              <w:b/>
              <w:i/>
              <w:color w:val="FF0000"/>
              <w:sz w:val="28"/>
              <w:szCs w:val="28"/>
            </w:rPr>
          </w:pPr>
          <w:r w:rsidRPr="001444FE">
            <w:rPr>
              <w:b/>
              <w:i/>
              <w:color w:val="FF0000"/>
              <w:sz w:val="28"/>
              <w:szCs w:val="28"/>
            </w:rPr>
            <w:t>of oesophageal and gastric cancer</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9"/>
            <w:gridCol w:w="3414"/>
          </w:tblGrid>
          <w:tr w:rsidR="001444FE" w14:paraId="4DD3DD47" w14:textId="77777777" w:rsidTr="001444FE">
            <w:trPr>
              <w:trHeight w:val="31"/>
            </w:trPr>
            <w:tc>
              <w:tcPr>
                <w:tcW w:w="3569" w:type="dxa"/>
              </w:tcPr>
              <w:p w14:paraId="11651FA1" w14:textId="77777777" w:rsidR="001444FE" w:rsidRPr="001444FE" w:rsidRDefault="00CB34ED" w:rsidP="001444FE">
                <w:pPr>
                  <w:jc w:val="center"/>
                  <w:rPr>
                    <w:i/>
                    <w:color w:val="FF0000"/>
                  </w:rPr>
                </w:pPr>
                <w:hyperlink r:id="rId2" w:history="1">
                  <w:r w:rsidR="001444FE" w:rsidRPr="001444FE">
                    <w:rPr>
                      <w:rStyle w:val="Hyperlink"/>
                      <w:i/>
                    </w:rPr>
                    <w:t>www.actionagainstheartburn.org.uk</w:t>
                  </w:r>
                </w:hyperlink>
              </w:p>
              <w:p w14:paraId="6F7B293E" w14:textId="77777777" w:rsidR="001444FE" w:rsidRDefault="001444FE" w:rsidP="00AF681C">
                <w:pPr>
                  <w:jc w:val="center"/>
                  <w:rPr>
                    <w:b/>
                    <w:i/>
                    <w:color w:val="FF0000"/>
                    <w:sz w:val="28"/>
                    <w:szCs w:val="28"/>
                  </w:rPr>
                </w:pPr>
              </w:p>
            </w:tc>
            <w:tc>
              <w:tcPr>
                <w:tcW w:w="3414" w:type="dxa"/>
              </w:tcPr>
              <w:p w14:paraId="62EA33D8" w14:textId="77777777" w:rsidR="001444FE" w:rsidRDefault="001444FE" w:rsidP="00AF681C">
                <w:pPr>
                  <w:jc w:val="center"/>
                  <w:rPr>
                    <w:b/>
                    <w:i/>
                    <w:color w:val="FF0000"/>
                    <w:sz w:val="28"/>
                    <w:szCs w:val="28"/>
                  </w:rPr>
                </w:pPr>
                <w:r>
                  <w:rPr>
                    <w:i/>
                    <w:noProof/>
                    <w:color w:val="FF0000"/>
                    <w:sz w:val="24"/>
                    <w:lang w:eastAsia="en-GB"/>
                  </w:rPr>
                  <w:drawing>
                    <wp:inline distT="0" distB="0" distL="0" distR="0" wp14:anchorId="351B48B1" wp14:editId="72C07C73">
                      <wp:extent cx="391712" cy="314325"/>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jpg"/>
                              <pic:cNvPicPr/>
                            </pic:nvPicPr>
                            <pic:blipFill>
                              <a:blip r:embed="rId3">
                                <a:extLst>
                                  <a:ext uri="{28A0092B-C50C-407E-A947-70E740481C1C}">
                                    <a14:useLocalDpi xmlns:a14="http://schemas.microsoft.com/office/drawing/2010/main" val="0"/>
                                  </a:ext>
                                </a:extLst>
                              </a:blip>
                              <a:stretch>
                                <a:fillRect/>
                              </a:stretch>
                            </pic:blipFill>
                            <pic:spPr>
                              <a:xfrm>
                                <a:off x="0" y="0"/>
                                <a:ext cx="391712" cy="314325"/>
                              </a:xfrm>
                              <a:prstGeom prst="rect">
                                <a:avLst/>
                              </a:prstGeom>
                            </pic:spPr>
                          </pic:pic>
                        </a:graphicData>
                      </a:graphic>
                    </wp:inline>
                  </w:drawing>
                </w:r>
                <w:r w:rsidRPr="001444FE">
                  <w:rPr>
                    <w:i/>
                    <w:color w:val="FF0000"/>
                  </w:rPr>
                  <w:t>@</w:t>
                </w:r>
                <w:proofErr w:type="spellStart"/>
                <w:r w:rsidRPr="001444FE">
                  <w:rPr>
                    <w:i/>
                    <w:color w:val="FF0000"/>
                  </w:rPr>
                  <w:t>ActionHeartburn</w:t>
                </w:r>
                <w:proofErr w:type="spellEnd"/>
              </w:p>
            </w:tc>
          </w:tr>
        </w:tbl>
        <w:p w14:paraId="53DCD7A4" w14:textId="77777777" w:rsidR="00676631" w:rsidRPr="00AF681C" w:rsidRDefault="00676631" w:rsidP="00AF681C">
          <w:pPr>
            <w:jc w:val="center"/>
            <w:rPr>
              <w:i/>
              <w:sz w:val="24"/>
              <w:szCs w:val="24"/>
            </w:rPr>
          </w:pPr>
        </w:p>
      </w:tc>
    </w:tr>
  </w:tbl>
  <w:p w14:paraId="52200140" w14:textId="77777777" w:rsidR="00AF681C" w:rsidRDefault="00AF6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E18E0"/>
    <w:multiLevelType w:val="hybridMultilevel"/>
    <w:tmpl w:val="E53E28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904D5E"/>
    <w:multiLevelType w:val="hybridMultilevel"/>
    <w:tmpl w:val="9A9489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8E0"/>
    <w:rsid w:val="00012D8A"/>
    <w:rsid w:val="00047095"/>
    <w:rsid w:val="00074A42"/>
    <w:rsid w:val="000924D0"/>
    <w:rsid w:val="000A4380"/>
    <w:rsid w:val="000A76BE"/>
    <w:rsid w:val="000D239B"/>
    <w:rsid w:val="000E1DA3"/>
    <w:rsid w:val="0012418F"/>
    <w:rsid w:val="00136CD8"/>
    <w:rsid w:val="001444FE"/>
    <w:rsid w:val="0020467C"/>
    <w:rsid w:val="002231B2"/>
    <w:rsid w:val="00257C51"/>
    <w:rsid w:val="00265B00"/>
    <w:rsid w:val="00295BF1"/>
    <w:rsid w:val="00297DD4"/>
    <w:rsid w:val="002D5BFB"/>
    <w:rsid w:val="002E7BE5"/>
    <w:rsid w:val="002F46CB"/>
    <w:rsid w:val="003327FB"/>
    <w:rsid w:val="003666EC"/>
    <w:rsid w:val="00367202"/>
    <w:rsid w:val="003A3740"/>
    <w:rsid w:val="003D433E"/>
    <w:rsid w:val="00437A09"/>
    <w:rsid w:val="004E1338"/>
    <w:rsid w:val="004E6788"/>
    <w:rsid w:val="004F2F12"/>
    <w:rsid w:val="00543681"/>
    <w:rsid w:val="00560541"/>
    <w:rsid w:val="005D5806"/>
    <w:rsid w:val="005D6EF1"/>
    <w:rsid w:val="005E00E1"/>
    <w:rsid w:val="006523CF"/>
    <w:rsid w:val="006542AF"/>
    <w:rsid w:val="00676631"/>
    <w:rsid w:val="00682507"/>
    <w:rsid w:val="00684B20"/>
    <w:rsid w:val="0069603D"/>
    <w:rsid w:val="006A7677"/>
    <w:rsid w:val="006B3126"/>
    <w:rsid w:val="006D73F6"/>
    <w:rsid w:val="006E5769"/>
    <w:rsid w:val="00744E71"/>
    <w:rsid w:val="0079074F"/>
    <w:rsid w:val="00794F71"/>
    <w:rsid w:val="007F638E"/>
    <w:rsid w:val="00820954"/>
    <w:rsid w:val="00840D7E"/>
    <w:rsid w:val="00864965"/>
    <w:rsid w:val="008D2722"/>
    <w:rsid w:val="008E0666"/>
    <w:rsid w:val="0092638B"/>
    <w:rsid w:val="009477AB"/>
    <w:rsid w:val="0097545B"/>
    <w:rsid w:val="0097547E"/>
    <w:rsid w:val="00980C91"/>
    <w:rsid w:val="0099172D"/>
    <w:rsid w:val="009A7B0D"/>
    <w:rsid w:val="009D3AD8"/>
    <w:rsid w:val="009F51D5"/>
    <w:rsid w:val="00A9068C"/>
    <w:rsid w:val="00AF681C"/>
    <w:rsid w:val="00B63B8D"/>
    <w:rsid w:val="00B77140"/>
    <w:rsid w:val="00BD1757"/>
    <w:rsid w:val="00BE0441"/>
    <w:rsid w:val="00CB34ED"/>
    <w:rsid w:val="00CE58C3"/>
    <w:rsid w:val="00CF2E1B"/>
    <w:rsid w:val="00CF353F"/>
    <w:rsid w:val="00D30505"/>
    <w:rsid w:val="00D426BF"/>
    <w:rsid w:val="00D44E9F"/>
    <w:rsid w:val="00D525E3"/>
    <w:rsid w:val="00D6585D"/>
    <w:rsid w:val="00D66413"/>
    <w:rsid w:val="00D668E0"/>
    <w:rsid w:val="00D76512"/>
    <w:rsid w:val="00DA3820"/>
    <w:rsid w:val="00DA7736"/>
    <w:rsid w:val="00E030CF"/>
    <w:rsid w:val="00E50E28"/>
    <w:rsid w:val="00E8699B"/>
    <w:rsid w:val="00EA7206"/>
    <w:rsid w:val="00EE49A7"/>
    <w:rsid w:val="00F2388D"/>
    <w:rsid w:val="00F41251"/>
    <w:rsid w:val="00F67AB8"/>
    <w:rsid w:val="00F67C9D"/>
    <w:rsid w:val="00FA7553"/>
    <w:rsid w:val="00FB11BD"/>
    <w:rsid w:val="00FE5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57E59"/>
  <w15:docId w15:val="{80CA7EDA-4B32-4F4A-BFA2-43964EBB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9477AB"/>
    <w:pPr>
      <w:spacing w:after="0" w:line="240" w:lineRule="auto"/>
      <w:ind w:left="36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9477AB"/>
    <w:rPr>
      <w:rFonts w:ascii="Arial" w:eastAsia="Times New Roman" w:hAnsi="Arial" w:cs="Arial"/>
      <w:sz w:val="24"/>
      <w:szCs w:val="24"/>
    </w:rPr>
  </w:style>
  <w:style w:type="character" w:styleId="Hyperlink">
    <w:name w:val="Hyperlink"/>
    <w:basedOn w:val="DefaultParagraphFont"/>
    <w:uiPriority w:val="99"/>
    <w:unhideWhenUsed/>
    <w:rsid w:val="009477AB"/>
    <w:rPr>
      <w:color w:val="0563C1" w:themeColor="hyperlink"/>
      <w:u w:val="single"/>
    </w:rPr>
  </w:style>
  <w:style w:type="paragraph" w:styleId="ListParagraph">
    <w:name w:val="List Paragraph"/>
    <w:basedOn w:val="Normal"/>
    <w:uiPriority w:val="34"/>
    <w:qFormat/>
    <w:rsid w:val="0097547E"/>
    <w:pPr>
      <w:ind w:left="720"/>
      <w:contextualSpacing/>
    </w:pPr>
  </w:style>
  <w:style w:type="table" w:styleId="TableGrid">
    <w:name w:val="Table Grid"/>
    <w:basedOn w:val="TableNormal"/>
    <w:uiPriority w:val="39"/>
    <w:rsid w:val="00367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3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AD8"/>
    <w:rPr>
      <w:rFonts w:ascii="Tahoma" w:hAnsi="Tahoma" w:cs="Tahoma"/>
      <w:sz w:val="16"/>
      <w:szCs w:val="16"/>
    </w:rPr>
  </w:style>
  <w:style w:type="paragraph" w:styleId="Header">
    <w:name w:val="header"/>
    <w:basedOn w:val="Normal"/>
    <w:link w:val="HeaderChar"/>
    <w:uiPriority w:val="99"/>
    <w:unhideWhenUsed/>
    <w:rsid w:val="00AF6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81C"/>
  </w:style>
  <w:style w:type="paragraph" w:styleId="Footer">
    <w:name w:val="footer"/>
    <w:basedOn w:val="Normal"/>
    <w:link w:val="FooterChar"/>
    <w:uiPriority w:val="99"/>
    <w:unhideWhenUsed/>
    <w:rsid w:val="00AF6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81C"/>
  </w:style>
  <w:style w:type="paragraph" w:styleId="NormalWeb">
    <w:name w:val="Normal (Web)"/>
    <w:basedOn w:val="Normal"/>
    <w:uiPriority w:val="99"/>
    <w:semiHidden/>
    <w:unhideWhenUsed/>
    <w:rsid w:val="00D7651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8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anmoss32@gmail.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actionagainstheartburn.org.uk" TargetMode="External"/><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marker>
            <c:spPr>
              <a:solidFill>
                <a:srgbClr val="002060"/>
              </a:solidFill>
            </c:spPr>
          </c:marker>
          <c:dLbls>
            <c:dLbl>
              <c:idx val="0"/>
              <c:tx>
                <c:rich>
                  <a:bodyPr/>
                  <a:lstStyle/>
                  <a:p>
                    <a:r>
                      <a:rPr lang="en-US"/>
                      <a:t>Breast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C6-44CC-B4E4-C5B962795639}"/>
                </c:ext>
              </c:extLst>
            </c:dLbl>
            <c:dLbl>
              <c:idx val="1"/>
              <c:tx>
                <c:rich>
                  <a:bodyPr/>
                  <a:lstStyle/>
                  <a:p>
                    <a:r>
                      <a:rPr lang="en-US"/>
                      <a:t>Prostate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C6-44CC-B4E4-C5B962795639}"/>
                </c:ext>
              </c:extLst>
            </c:dLbl>
            <c:dLbl>
              <c:idx val="2"/>
              <c:tx>
                <c:rich>
                  <a:bodyPr/>
                  <a:lstStyle/>
                  <a:p>
                    <a:r>
                      <a:rPr lang="en-US"/>
                      <a:t>Lung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C6-44CC-B4E4-C5B962795639}"/>
                </c:ext>
              </c:extLst>
            </c:dLbl>
            <c:dLbl>
              <c:idx val="3"/>
              <c:tx>
                <c:rich>
                  <a:bodyPr/>
                  <a:lstStyle/>
                  <a:p>
                    <a:r>
                      <a:rPr lang="en-US"/>
                      <a:t>Other</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C6-44CC-B4E4-C5B962795639}"/>
                </c:ext>
              </c:extLst>
            </c:dLbl>
            <c:dLbl>
              <c:idx val="4"/>
              <c:layout>
                <c:manualLayout>
                  <c:x val="-1.907789824653585E-2"/>
                  <c:y val="3.2432441635083104E-2"/>
                </c:manualLayout>
              </c:layout>
              <c:tx>
                <c:rich>
                  <a:bodyPr/>
                  <a:lstStyle/>
                  <a:p>
                    <a:r>
                      <a:rPr lang="en-US"/>
                      <a:t>Colorectal</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C6-44CC-B4E4-C5B962795639}"/>
                </c:ext>
              </c:extLst>
            </c:dLbl>
            <c:dLbl>
              <c:idx val="5"/>
              <c:tx>
                <c:rich>
                  <a:bodyPr/>
                  <a:lstStyle/>
                  <a:p>
                    <a:r>
                      <a:rPr lang="en-US"/>
                      <a:t>Melanoma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C6-44CC-B4E4-C5B962795639}"/>
                </c:ext>
              </c:extLst>
            </c:dLbl>
            <c:dLbl>
              <c:idx val="6"/>
              <c:layout>
                <c:manualLayout>
                  <c:x val="-6.35929941551195E-3"/>
                  <c:y val="0"/>
                </c:manualLayout>
              </c:layout>
              <c:tx>
                <c:rich>
                  <a:bodyPr/>
                  <a:lstStyle/>
                  <a:p>
                    <a:r>
                      <a:rPr lang="en-US"/>
                      <a:t>NHL</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C6-44CC-B4E4-C5B962795639}"/>
                </c:ext>
              </c:extLst>
            </c:dLbl>
            <c:dLbl>
              <c:idx val="7"/>
              <c:tx>
                <c:rich>
                  <a:bodyPr/>
                  <a:lstStyle/>
                  <a:p>
                    <a:r>
                      <a:rPr lang="en-US"/>
                      <a:t>Kidney</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C6-44CC-B4E4-C5B962795639}"/>
                </c:ext>
              </c:extLst>
            </c:dLbl>
            <c:dLbl>
              <c:idx val="8"/>
              <c:layout>
                <c:manualLayout>
                  <c:x val="-1.4838365302861218E-2"/>
                  <c:y val="-2.1621627756722071E-2"/>
                </c:manualLayout>
              </c:layout>
              <c:tx>
                <c:rich>
                  <a:bodyPr/>
                  <a:lstStyle/>
                  <a:p>
                    <a:r>
                      <a:rPr lang="en-US"/>
                      <a:t>Bladder</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C6-44CC-B4E4-C5B962795639}"/>
                </c:ext>
              </c:extLst>
            </c:dLbl>
            <c:dLbl>
              <c:idx val="9"/>
              <c:layout>
                <c:manualLayout>
                  <c:x val="-1.27185988310239E-2"/>
                  <c:y val="-1.0810813878361036E-2"/>
                </c:manualLayout>
              </c:layout>
              <c:tx>
                <c:rich>
                  <a:bodyPr/>
                  <a:lstStyle/>
                  <a:p>
                    <a:r>
                      <a:rPr lang="en-US"/>
                      <a:t>Pancreas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C6-44CC-B4E4-C5B962795639}"/>
                </c:ext>
              </c:extLst>
            </c:dLbl>
            <c:dLbl>
              <c:idx val="10"/>
              <c:layout>
                <c:manualLayout>
                  <c:x val="-6.3592994155121062E-3"/>
                  <c:y val="-1.3213064323994679E-16"/>
                </c:manualLayout>
              </c:layout>
              <c:tx>
                <c:rich>
                  <a:bodyPr/>
                  <a:lstStyle/>
                  <a:p>
                    <a:r>
                      <a:rPr lang="en-US"/>
                      <a:t>Uterine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C6-44CC-B4E4-C5B962795639}"/>
                </c:ext>
              </c:extLst>
            </c:dLbl>
            <c:dLbl>
              <c:idx val="11"/>
              <c:tx>
                <c:rich>
                  <a:bodyPr/>
                  <a:lstStyle/>
                  <a:p>
                    <a:r>
                      <a:rPr lang="en-US"/>
                      <a:t>Oesophagus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C6-44CC-B4E4-C5B962795639}"/>
                </c:ext>
              </c:extLst>
            </c:dLbl>
            <c:dLbl>
              <c:idx val="12"/>
              <c:tx>
                <c:rich>
                  <a:bodyPr/>
                  <a:lstStyle/>
                  <a:p>
                    <a:r>
                      <a:rPr lang="en-US"/>
                      <a:t>Ovarian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2C6-44CC-B4E4-C5B962795639}"/>
                </c:ext>
              </c:extLst>
            </c:dLbl>
            <c:dLbl>
              <c:idx val="13"/>
              <c:layout>
                <c:manualLayout>
                  <c:x val="-8.479065887349228E-3"/>
                  <c:y val="7.2072092522406902E-3"/>
                </c:manualLayout>
              </c:layout>
              <c:tx>
                <c:rich>
                  <a:bodyPr/>
                  <a:lstStyle/>
                  <a:p>
                    <a:r>
                      <a:rPr lang="en-US"/>
                      <a:t>Stomach</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C6-44CC-B4E4-C5B962795639}"/>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'4.4 ED by incidence'!$C$30:$C$43</c:f>
              <c:numCache>
                <c:formatCode>0%</c:formatCode>
                <c:ptCount val="14"/>
                <c:pt idx="0">
                  <c:v>0.85231586055934616</c:v>
                </c:pt>
                <c:pt idx="1">
                  <c:v>0.52947342956213206</c:v>
                </c:pt>
                <c:pt idx="2">
                  <c:v>0.29160712322743759</c:v>
                </c:pt>
                <c:pt idx="3">
                  <c:v>0.47545577631537517</c:v>
                </c:pt>
                <c:pt idx="4">
                  <c:v>0.43973278193096865</c:v>
                </c:pt>
                <c:pt idx="5">
                  <c:v>0.90482459536900794</c:v>
                </c:pt>
                <c:pt idx="6">
                  <c:v>0.31149250900815473</c:v>
                </c:pt>
                <c:pt idx="7">
                  <c:v>0.57974244675581976</c:v>
                </c:pt>
                <c:pt idx="8">
                  <c:v>0.73618421052631577</c:v>
                </c:pt>
                <c:pt idx="9">
                  <c:v>0.2392031206464196</c:v>
                </c:pt>
                <c:pt idx="10">
                  <c:v>0.80385264341957252</c:v>
                </c:pt>
                <c:pt idx="11">
                  <c:v>0.2759625709464642</c:v>
                </c:pt>
                <c:pt idx="12">
                  <c:v>0.43474680938657884</c:v>
                </c:pt>
                <c:pt idx="13">
                  <c:v>0.29492422420014436</c:v>
                </c:pt>
              </c:numCache>
            </c:numRef>
          </c:xVal>
          <c:yVal>
            <c:numRef>
              <c:f>'4.4 ED by incidence'!$D$30:$D$43</c:f>
              <c:numCache>
                <c:formatCode>General</c:formatCode>
                <c:ptCount val="14"/>
                <c:pt idx="0">
                  <c:v>42943</c:v>
                </c:pt>
                <c:pt idx="1">
                  <c:v>37203</c:v>
                </c:pt>
                <c:pt idx="2">
                  <c:v>36388</c:v>
                </c:pt>
                <c:pt idx="3">
                  <c:v>31759</c:v>
                </c:pt>
                <c:pt idx="4">
                  <c:v>31435</c:v>
                </c:pt>
                <c:pt idx="5">
                  <c:v>12913</c:v>
                </c:pt>
                <c:pt idx="6">
                  <c:v>10546</c:v>
                </c:pt>
                <c:pt idx="7">
                  <c:v>8076</c:v>
                </c:pt>
                <c:pt idx="8">
                  <c:v>7600</c:v>
                </c:pt>
                <c:pt idx="9">
                  <c:v>7178</c:v>
                </c:pt>
                <c:pt idx="10">
                  <c:v>7112</c:v>
                </c:pt>
                <c:pt idx="11">
                  <c:v>6519</c:v>
                </c:pt>
                <c:pt idx="12">
                  <c:v>4858</c:v>
                </c:pt>
                <c:pt idx="13">
                  <c:v>4157</c:v>
                </c:pt>
              </c:numCache>
            </c:numRef>
          </c:yVal>
          <c:smooth val="0"/>
          <c:extLst>
            <c:ext xmlns:c16="http://schemas.microsoft.com/office/drawing/2014/chart" uri="{C3380CC4-5D6E-409C-BE32-E72D297353CC}">
              <c16:uniqueId val="{0000000E-12C6-44CC-B4E4-C5B962795639}"/>
            </c:ext>
          </c:extLst>
        </c:ser>
        <c:dLbls>
          <c:showLegendKey val="0"/>
          <c:showVal val="0"/>
          <c:showCatName val="0"/>
          <c:showSerName val="0"/>
          <c:showPercent val="0"/>
          <c:showBubbleSize val="0"/>
        </c:dLbls>
        <c:axId val="410250240"/>
        <c:axId val="410268416"/>
      </c:scatterChart>
      <c:valAx>
        <c:axId val="410250240"/>
        <c:scaling>
          <c:orientation val="minMax"/>
        </c:scaling>
        <c:delete val="0"/>
        <c:axPos val="b"/>
        <c:minorGridlines>
          <c:spPr>
            <a:ln>
              <a:noFill/>
            </a:ln>
          </c:spPr>
        </c:minorGridlines>
        <c:numFmt formatCode="0%" sourceLinked="1"/>
        <c:majorTickMark val="out"/>
        <c:minorTickMark val="none"/>
        <c:tickLblPos val="nextTo"/>
        <c:crossAx val="410268416"/>
        <c:crosses val="autoZero"/>
        <c:crossBetween val="midCat"/>
      </c:valAx>
      <c:valAx>
        <c:axId val="410268416"/>
        <c:scaling>
          <c:orientation val="minMax"/>
        </c:scaling>
        <c:delete val="0"/>
        <c:axPos val="l"/>
        <c:majorGridlines/>
        <c:numFmt formatCode="General" sourceLinked="1"/>
        <c:majorTickMark val="out"/>
        <c:minorTickMark val="none"/>
        <c:tickLblPos val="nextTo"/>
        <c:crossAx val="410250240"/>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0.55326</cdr:x>
      <cdr:y>0.03987</cdr:y>
    </cdr:from>
    <cdr:to>
      <cdr:x>0.55326</cdr:x>
      <cdr:y>0.93888</cdr:y>
    </cdr:to>
    <cdr:cxnSp macro="">
      <cdr:nvCxnSpPr>
        <cdr:cNvPr id="3" name="Straight Connector 2">
          <a:extLst xmlns:a="http://schemas.openxmlformats.org/drawingml/2006/main">
            <a:ext uri="{FF2B5EF4-FFF2-40B4-BE49-F238E27FC236}">
              <a16:creationId xmlns:a16="http://schemas.microsoft.com/office/drawing/2014/main" id="{33B562DA-E282-454C-B7D4-C371A8326E54}"/>
            </a:ext>
          </a:extLst>
        </cdr:cNvPr>
        <cdr:cNvCxnSpPr/>
      </cdr:nvCxnSpPr>
      <cdr:spPr>
        <a:xfrm xmlns:a="http://schemas.openxmlformats.org/drawingml/2006/main" flipV="1">
          <a:off x="4474606" y="186978"/>
          <a:ext cx="0" cy="4215873"/>
        </a:xfrm>
        <a:prstGeom xmlns:a="http://schemas.openxmlformats.org/drawingml/2006/main" prst="line">
          <a:avLst/>
        </a:prstGeom>
        <a:ln xmlns:a="http://schemas.openxmlformats.org/drawingml/2006/main" w="19050">
          <a:solidFill>
            <a:schemeClr val="tx2">
              <a:lumMod val="60000"/>
              <a:lumOff val="4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0.06731</cdr:x>
      <cdr:y>0.48096</cdr:y>
    </cdr:from>
    <cdr:to>
      <cdr:x>0.95322</cdr:x>
      <cdr:y>0.48096</cdr:y>
    </cdr:to>
    <cdr:cxnSp macro="">
      <cdr:nvCxnSpPr>
        <cdr:cNvPr id="6" name="Straight Connector 5">
          <a:extLst xmlns:a="http://schemas.openxmlformats.org/drawingml/2006/main">
            <a:ext uri="{FF2B5EF4-FFF2-40B4-BE49-F238E27FC236}">
              <a16:creationId xmlns:a16="http://schemas.microsoft.com/office/drawing/2014/main" id="{B12E598E-B0A6-4B77-BDD9-6202CC116586}"/>
            </a:ext>
          </a:extLst>
        </cdr:cNvPr>
        <cdr:cNvCxnSpPr/>
      </cdr:nvCxnSpPr>
      <cdr:spPr>
        <a:xfrm xmlns:a="http://schemas.openxmlformats.org/drawingml/2006/main">
          <a:off x="544358" y="2255459"/>
          <a:ext cx="7164980" cy="0"/>
        </a:xfrm>
        <a:prstGeom xmlns:a="http://schemas.openxmlformats.org/drawingml/2006/main" prst="line">
          <a:avLst/>
        </a:prstGeom>
        <a:ln xmlns:a="http://schemas.openxmlformats.org/drawingml/2006/main" w="19050">
          <a:solidFill>
            <a:schemeClr val="tx2">
              <a:lumMod val="60000"/>
              <a:lumOff val="4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8AAD9-6200-4DC0-8AD5-B10C455B5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OPA</dc:creator>
  <cp:keywords/>
  <dc:description/>
  <cp:lastModifiedBy>Alan Moss</cp:lastModifiedBy>
  <cp:revision>3</cp:revision>
  <cp:lastPrinted>2017-07-11T16:00:00Z</cp:lastPrinted>
  <dcterms:created xsi:type="dcterms:W3CDTF">2019-10-09T08:27:00Z</dcterms:created>
  <dcterms:modified xsi:type="dcterms:W3CDTF">2019-10-09T09:34:00Z</dcterms:modified>
</cp:coreProperties>
</file>